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по месту </w:t>
      </w:r>
      <w:r>
        <w:rPr>
          <w:rFonts w:ascii="Times New Roman" w:eastAsia="Times New Roman" w:hAnsi="Times New Roman" w:cs="Times New Roman"/>
        </w:rPr>
        <w:t xml:space="preserve">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00495-24/ДФ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ч.3.3 ст.8.2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извещался посредством направления судебной повестка по месту жительства (регистрации),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Д.В.о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Комитета государственного экологического надзора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00495-24/ДФ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ч.3.3 ст.8.2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00495-24/ДФ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00027-25/Д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00495-24/ДФ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0412365400725002102520178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